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67" w:rsidRDefault="006C1367" w:rsidP="006C1367">
      <w:pPr>
        <w:pStyle w:val="30"/>
      </w:pPr>
    </w:p>
    <w:p w:rsidR="002953DF" w:rsidRDefault="006C1367" w:rsidP="006C1367">
      <w:pPr>
        <w:pStyle w:val="30"/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689EBA5F" wp14:editId="2C60B4B7">
            <wp:simplePos x="0" y="0"/>
            <wp:positionH relativeFrom="column">
              <wp:posOffset>939165</wp:posOffset>
            </wp:positionH>
            <wp:positionV relativeFrom="paragraph">
              <wp:posOffset>1454150</wp:posOffset>
            </wp:positionV>
            <wp:extent cx="5006340" cy="3364865"/>
            <wp:effectExtent l="0" t="0" r="3810" b="6985"/>
            <wp:wrapNone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500634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04B0">
        <w:t>Ответственность родителей</w:t>
      </w:r>
      <w:r w:rsidR="00CE04B0">
        <w:br/>
        <w:t>за правонарушения их</w:t>
      </w:r>
      <w:r w:rsidR="00CE04B0">
        <w:br/>
        <w:t>несовершеннолетних детей:</w:t>
      </w:r>
      <w:r w:rsidR="00CE04B0">
        <w:br/>
        <w:t>поступки и наказания</w:t>
      </w:r>
    </w:p>
    <w:p w:rsidR="002953DF" w:rsidRDefault="002953DF">
      <w:pPr>
        <w:rPr>
          <w:sz w:val="2"/>
          <w:szCs w:val="2"/>
        </w:rPr>
        <w:sectPr w:rsidR="002953DF" w:rsidSect="0054492E">
          <w:pgSz w:w="11900" w:h="16840"/>
          <w:pgMar w:top="1135" w:right="843" w:bottom="1965" w:left="993" w:header="3787" w:footer="1537" w:gutter="0"/>
          <w:pgNumType w:start="1"/>
          <w:cols w:space="720"/>
          <w:noEndnote/>
          <w:docGrid w:linePitch="360"/>
        </w:sectPr>
      </w:pPr>
    </w:p>
    <w:p w:rsidR="002953DF" w:rsidRPr="006C1367" w:rsidRDefault="00CE04B0" w:rsidP="00864DF4">
      <w:pPr>
        <w:pStyle w:val="20"/>
        <w:spacing w:before="0" w:after="0"/>
        <w:rPr>
          <w:sz w:val="28"/>
          <w:szCs w:val="28"/>
        </w:rPr>
      </w:pPr>
      <w:r w:rsidRPr="006C1367">
        <w:rPr>
          <w:b/>
          <w:bCs/>
          <w:sz w:val="28"/>
          <w:szCs w:val="28"/>
        </w:rPr>
        <w:lastRenderedPageBreak/>
        <w:t>Ответственность родителей</w:t>
      </w:r>
    </w:p>
    <w:p w:rsidR="002953DF" w:rsidRDefault="00CE04B0" w:rsidP="00864DF4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за правонарушения их несовершеннолетних детей:</w:t>
      </w:r>
      <w:r>
        <w:rPr>
          <w:b/>
          <w:bCs/>
        </w:rPr>
        <w:br/>
        <w:t>поступки и наказания</w:t>
      </w:r>
    </w:p>
    <w:p w:rsidR="00864DF4" w:rsidRDefault="00864DF4" w:rsidP="00864DF4">
      <w:pPr>
        <w:pStyle w:val="1"/>
        <w:ind w:firstLine="0"/>
        <w:jc w:val="center"/>
      </w:pPr>
    </w:p>
    <w:p w:rsidR="002953DF" w:rsidRDefault="00864DF4" w:rsidP="00864DF4">
      <w:pPr>
        <w:pStyle w:val="1"/>
        <w:ind w:firstLine="580"/>
        <w:jc w:val="both"/>
      </w:pPr>
      <w:r>
        <w:t xml:space="preserve">«Они же еще дети» - </w:t>
      </w:r>
      <w:r w:rsidR="00CE04B0">
        <w:t>часто можно услышать по отношению к несовершеннолетним. Не имея достаточного опыта и не осознавая последствий своих поступков, малолетние граждане не могут быть привлечены к уголовной или административное наказание согласно ГК РФ. Вместо них перед судом выступают их родители.</w:t>
      </w:r>
    </w:p>
    <w:p w:rsidR="002953DF" w:rsidRDefault="00CE04B0" w:rsidP="00864DF4">
      <w:pPr>
        <w:pStyle w:val="11"/>
        <w:keepNext/>
        <w:keepLines/>
        <w:spacing w:after="0"/>
      </w:pPr>
      <w:bookmarkStart w:id="0" w:name="bookmark0"/>
      <w:r>
        <w:t>Определение прав и обязанностей</w:t>
      </w:r>
      <w:bookmarkEnd w:id="0"/>
    </w:p>
    <w:p w:rsidR="00D16740" w:rsidRDefault="00CE04B0" w:rsidP="00864DF4">
      <w:pPr>
        <w:pStyle w:val="1"/>
        <w:ind w:firstLine="580"/>
        <w:jc w:val="both"/>
      </w:pPr>
      <w:r>
        <w:t>По достижении 18 лет все граждане России получают полную правоспособность и дееспособность, то есть получают все права и обязанности полноценного гражданина страны. С этого времени они могут полностью распоряжаться своей жизнью и имуществом: вступать в брак, устраиваться на работу, продавать или покупать недвижимость. С правами приходят и обязанности: гражданин полностью отвечает перед судом за свои поступки и несет полную ответственность.</w:t>
      </w:r>
    </w:p>
    <w:p w:rsidR="00864DF4" w:rsidRDefault="00864DF4" w:rsidP="00D16740">
      <w:pPr>
        <w:pStyle w:val="1"/>
        <w:ind w:firstLine="580"/>
        <w:jc w:val="both"/>
      </w:pPr>
      <w:r>
        <w:rPr>
          <w:noProof/>
          <w:lang w:bidi="ar-SA"/>
        </w:rPr>
        <w:drawing>
          <wp:anchor distT="0" distB="0" distL="76200" distR="76200" simplePos="0" relativeHeight="125829378" behindDoc="0" locked="0" layoutInCell="1" allowOverlap="1" wp14:anchorId="2AB6D0F8" wp14:editId="427B834D">
            <wp:simplePos x="0" y="0"/>
            <wp:positionH relativeFrom="page">
              <wp:posOffset>2301240</wp:posOffset>
            </wp:positionH>
            <wp:positionV relativeFrom="paragraph">
              <wp:posOffset>17780</wp:posOffset>
            </wp:positionV>
            <wp:extent cx="2979420" cy="2003425"/>
            <wp:effectExtent l="0" t="0" r="0" b="0"/>
            <wp:wrapSquare wrapText="right"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97942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864DF4" w:rsidRDefault="00864DF4" w:rsidP="00D16740">
      <w:pPr>
        <w:pStyle w:val="1"/>
        <w:ind w:firstLine="580"/>
        <w:jc w:val="both"/>
      </w:pPr>
    </w:p>
    <w:p w:rsidR="00D16740" w:rsidRDefault="00CE04B0" w:rsidP="00D16740">
      <w:pPr>
        <w:pStyle w:val="1"/>
        <w:ind w:firstLine="580"/>
        <w:jc w:val="both"/>
      </w:pPr>
      <w:r>
        <w:t>До 18 лет гражданин считае</w:t>
      </w:r>
      <w:r w:rsidR="00864DF4">
        <w:t xml:space="preserve">тся недееспособным, </w:t>
      </w:r>
      <w:r w:rsidR="00D16740">
        <w:t xml:space="preserve">то </w:t>
      </w:r>
      <w:r>
        <w:t>есть</w:t>
      </w:r>
      <w:r w:rsidR="00D16740">
        <w:t xml:space="preserve"> ограниченным в правах </w:t>
      </w:r>
      <w:r>
        <w:t>и</w:t>
      </w:r>
      <w:r w:rsidR="00D16740">
        <w:t xml:space="preserve"> обязанностях. </w:t>
      </w:r>
      <w:r>
        <w:t>При этом различаются два понятия:</w:t>
      </w:r>
    </w:p>
    <w:p w:rsidR="00D16740" w:rsidRDefault="00CE04B0" w:rsidP="00D16740">
      <w:pPr>
        <w:pStyle w:val="1"/>
        <w:numPr>
          <w:ilvl w:val="0"/>
          <w:numId w:val="10"/>
        </w:numPr>
        <w:jc w:val="both"/>
      </w:pPr>
      <w:r>
        <w:t>Малолетний гражданин - это подросток до 14 лет, при этом он является и недееспособным тоже.</w:t>
      </w:r>
    </w:p>
    <w:p w:rsidR="00D16740" w:rsidRDefault="00CE04B0" w:rsidP="00864DF4">
      <w:pPr>
        <w:pStyle w:val="1"/>
        <w:numPr>
          <w:ilvl w:val="0"/>
          <w:numId w:val="10"/>
        </w:numPr>
        <w:jc w:val="both"/>
      </w:pPr>
      <w:r>
        <w:t>Недееспособный - до 18 лет.</w:t>
      </w:r>
    </w:p>
    <w:p w:rsidR="002953DF" w:rsidRDefault="000742A3" w:rsidP="000742A3">
      <w:pPr>
        <w:pStyle w:val="1"/>
        <w:tabs>
          <w:tab w:val="left" w:pos="1372"/>
        </w:tabs>
        <w:ind w:firstLine="580"/>
        <w:jc w:val="both"/>
      </w:pPr>
      <w:r>
        <w:t xml:space="preserve">В </w:t>
      </w:r>
      <w:r w:rsidR="00CE04B0">
        <w:t>возрасте 14-18 лет действует ограниченная дееспособность:</w:t>
      </w:r>
      <w:r>
        <w:t xml:space="preserve"> </w:t>
      </w:r>
      <w:r w:rsidR="00CE04B0">
        <w:t>подросток может отвечать за некоторые поступки, но обязан спрашивать разрешение родителей.</w:t>
      </w:r>
    </w:p>
    <w:p w:rsidR="00E83082" w:rsidRDefault="00CE04B0" w:rsidP="00864DF4">
      <w:pPr>
        <w:pStyle w:val="1"/>
        <w:spacing w:after="320"/>
        <w:ind w:firstLine="580"/>
        <w:jc w:val="both"/>
      </w:pPr>
      <w:r>
        <w:t>Стоит отметить: гражданин может быть недееспособным не только в силу возраста, но и из-за психических отклонений, из-за которых он не способен отвечать за свои действия.</w:t>
      </w:r>
      <w:r w:rsidR="00864DF4">
        <w:t xml:space="preserve"> </w:t>
      </w:r>
      <w:r>
        <w:t>Пока малолетний не достиг совершеннолетия, за все его действия отвечают родители или опекуны, они же представляют интересы подростка в суде и отстаивают его права. В зависимости от возраста и совершенного правонарушения различаются и степени ответственности детей и взрослых.</w:t>
      </w:r>
    </w:p>
    <w:p w:rsidR="00864DF4" w:rsidRDefault="00864DF4" w:rsidP="00E83082">
      <w:pPr>
        <w:pStyle w:val="1"/>
        <w:spacing w:after="320"/>
        <w:ind w:firstLine="580"/>
        <w:jc w:val="both"/>
        <w:rPr>
          <w:color w:val="4F81BD"/>
        </w:rPr>
      </w:pPr>
      <w:bookmarkStart w:id="1" w:name="bookmark2"/>
    </w:p>
    <w:p w:rsidR="002953DF" w:rsidRDefault="00CE04B0" w:rsidP="00E83082">
      <w:pPr>
        <w:pStyle w:val="1"/>
        <w:spacing w:after="320"/>
        <w:ind w:firstLine="580"/>
        <w:jc w:val="both"/>
      </w:pPr>
      <w:r>
        <w:rPr>
          <w:color w:val="4F81BD"/>
        </w:rPr>
        <w:lastRenderedPageBreak/>
        <w:t>До 14 лет</w:t>
      </w:r>
      <w:bookmarkEnd w:id="1"/>
    </w:p>
    <w:p w:rsidR="002953DF" w:rsidRDefault="00864DF4" w:rsidP="000369C5">
      <w:pPr>
        <w:pStyle w:val="1"/>
        <w:spacing w:after="280"/>
        <w:ind w:firstLine="0"/>
        <w:jc w:val="both"/>
      </w:pPr>
      <w:r>
        <w:rPr>
          <w:noProof/>
          <w:lang w:bidi="ar-SA"/>
        </w:rPr>
        <w:drawing>
          <wp:anchor distT="0" distB="0" distL="76200" distR="76200" simplePos="0" relativeHeight="125829379" behindDoc="0" locked="0" layoutInCell="1" allowOverlap="1" wp14:anchorId="10CF2071" wp14:editId="751C527C">
            <wp:simplePos x="0" y="0"/>
            <wp:positionH relativeFrom="page">
              <wp:posOffset>631190</wp:posOffset>
            </wp:positionH>
            <wp:positionV relativeFrom="paragraph">
              <wp:posOffset>-124460</wp:posOffset>
            </wp:positionV>
            <wp:extent cx="2578735" cy="1718945"/>
            <wp:effectExtent l="0" t="0" r="0" b="0"/>
            <wp:wrapSquare wrapText="right"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578735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E04B0">
        <w:t>В 14 лет дети получают первый паспорт, а вместе с ним и некоторую дозу прав и ответственности - до этого момента за любые действия малолетних отвечают их родители.</w:t>
      </w:r>
      <w:r w:rsidR="00E83082">
        <w:t xml:space="preserve"> </w:t>
      </w:r>
      <w:r w:rsidR="00CE04B0">
        <w:t>Кража, хулиганство, нанесение увечий, насилие, даже терроризм или убийство - все это ложится на плечи</w:t>
      </w:r>
      <w:r w:rsidR="000369C5">
        <w:t xml:space="preserve"> </w:t>
      </w:r>
      <w:r w:rsidR="00CE04B0">
        <w:t>взрослых, которые чаще всего отвечают материально.</w:t>
      </w:r>
    </w:p>
    <w:p w:rsidR="002953DF" w:rsidRDefault="00CE04B0">
      <w:pPr>
        <w:pStyle w:val="1"/>
        <w:ind w:firstLine="600"/>
        <w:jc w:val="both"/>
      </w:pPr>
      <w:r>
        <w:t>Малолетний гражданин обычно ограничивается серьезным внушением и некоторыми другими мерами влияния. Стоит отметить, что при совершении серьезного преступления (например, за убийство или нанесение увечий) ребенка, начиная с 11 лет, могут отправить в специальное лечебно</w:t>
      </w:r>
      <w:r>
        <w:softHyphen/>
      </w:r>
      <w:r w:rsidR="00AA4CB9">
        <w:t>-</w:t>
      </w:r>
      <w:r>
        <w:t>воспитательное учреждение на срок до 2 лет.</w:t>
      </w:r>
    </w:p>
    <w:p w:rsidR="002953DF" w:rsidRDefault="00CE04B0" w:rsidP="000369C5">
      <w:pPr>
        <w:pStyle w:val="1"/>
        <w:spacing w:after="40"/>
        <w:ind w:firstLine="600"/>
        <w:jc w:val="both"/>
      </w:pPr>
      <w:r>
        <w:t>Чаще всего малолетние дети не совершают серьезных правонарушений. К числу наиболее часто встречающихся нарушений относятся:</w:t>
      </w:r>
    </w:p>
    <w:p w:rsidR="002953DF" w:rsidRDefault="00CE04B0" w:rsidP="000369C5">
      <w:pPr>
        <w:pStyle w:val="1"/>
        <w:numPr>
          <w:ilvl w:val="0"/>
          <w:numId w:val="2"/>
        </w:numPr>
        <w:tabs>
          <w:tab w:val="left" w:pos="735"/>
        </w:tabs>
        <w:ind w:firstLine="380"/>
        <w:jc w:val="both"/>
      </w:pPr>
      <w:r>
        <w:t>мелкие кражи и грабежи;</w:t>
      </w:r>
    </w:p>
    <w:p w:rsidR="002953DF" w:rsidRDefault="00CE04B0" w:rsidP="000369C5">
      <w:pPr>
        <w:pStyle w:val="1"/>
        <w:numPr>
          <w:ilvl w:val="0"/>
          <w:numId w:val="2"/>
        </w:numPr>
        <w:tabs>
          <w:tab w:val="left" w:pos="735"/>
        </w:tabs>
        <w:ind w:firstLine="380"/>
        <w:jc w:val="both"/>
      </w:pPr>
      <w:r>
        <w:t>порча имущества;</w:t>
      </w:r>
    </w:p>
    <w:p w:rsidR="002953DF" w:rsidRDefault="00CE04B0" w:rsidP="000369C5">
      <w:pPr>
        <w:pStyle w:val="1"/>
        <w:numPr>
          <w:ilvl w:val="0"/>
          <w:numId w:val="2"/>
        </w:numPr>
        <w:tabs>
          <w:tab w:val="left" w:pos="735"/>
        </w:tabs>
        <w:ind w:firstLine="380"/>
        <w:jc w:val="both"/>
      </w:pPr>
      <w:r>
        <w:t>хулиганство и драки;</w:t>
      </w:r>
    </w:p>
    <w:p w:rsidR="002953DF" w:rsidRDefault="00CE04B0" w:rsidP="000369C5">
      <w:pPr>
        <w:pStyle w:val="1"/>
        <w:numPr>
          <w:ilvl w:val="0"/>
          <w:numId w:val="2"/>
        </w:numPr>
        <w:tabs>
          <w:tab w:val="left" w:pos="735"/>
        </w:tabs>
        <w:ind w:firstLine="380"/>
        <w:jc w:val="both"/>
      </w:pPr>
      <w:r>
        <w:t>нарушение ПДД.</w:t>
      </w:r>
    </w:p>
    <w:p w:rsidR="00AA4CB9" w:rsidRDefault="00CE04B0" w:rsidP="00AA4CB9">
      <w:pPr>
        <w:pStyle w:val="1"/>
        <w:ind w:firstLine="600"/>
        <w:jc w:val="both"/>
      </w:pPr>
      <w:r>
        <w:t>За все эти преступления ответственность целиком и полностью лежит на родителях. Впрочем, если несовершеннолетний совершил более тяжелое преступление, суд может привлечь к наказанию взрослого, кот</w:t>
      </w:r>
      <w:r w:rsidR="00E83082">
        <w:t>орый подтолкнул ребенка к этому.</w:t>
      </w:r>
      <w:bookmarkStart w:id="2" w:name="bookmark4"/>
    </w:p>
    <w:p w:rsidR="002953DF" w:rsidRDefault="00CE04B0" w:rsidP="00AA4CB9">
      <w:pPr>
        <w:pStyle w:val="1"/>
        <w:ind w:firstLine="600"/>
        <w:jc w:val="center"/>
        <w:rPr>
          <w:color w:val="4F81BD"/>
        </w:rPr>
      </w:pPr>
      <w:r>
        <w:rPr>
          <w:color w:val="4F81BD"/>
        </w:rPr>
        <w:t>14-16 лет</w:t>
      </w:r>
      <w:bookmarkEnd w:id="2"/>
    </w:p>
    <w:p w:rsidR="00AA4CB9" w:rsidRDefault="00AA4CB9" w:rsidP="00AA4CB9">
      <w:pPr>
        <w:pStyle w:val="1"/>
        <w:ind w:firstLine="600"/>
        <w:jc w:val="center"/>
      </w:pPr>
    </w:p>
    <w:p w:rsidR="002953DF" w:rsidRDefault="00E83082" w:rsidP="00AA4CB9">
      <w:pPr>
        <w:pStyle w:val="1"/>
        <w:tabs>
          <w:tab w:val="left" w:pos="1714"/>
          <w:tab w:val="left" w:pos="2571"/>
          <w:tab w:val="left" w:pos="3550"/>
        </w:tabs>
        <w:ind w:firstLine="709"/>
        <w:jc w:val="both"/>
      </w:pPr>
      <w:r>
        <w:rPr>
          <w:noProof/>
          <w:lang w:bidi="ar-SA"/>
        </w:rPr>
        <w:drawing>
          <wp:anchor distT="0" distB="0" distL="63500" distR="63500" simplePos="0" relativeHeight="125829380" behindDoc="0" locked="0" layoutInCell="1" allowOverlap="1" wp14:anchorId="45DED0CA" wp14:editId="0FFCC0D5">
            <wp:simplePos x="0" y="0"/>
            <wp:positionH relativeFrom="page">
              <wp:posOffset>2141220</wp:posOffset>
            </wp:positionH>
            <wp:positionV relativeFrom="paragraph">
              <wp:posOffset>1229995</wp:posOffset>
            </wp:positionV>
            <wp:extent cx="3208020" cy="2446020"/>
            <wp:effectExtent l="0" t="0" r="0" b="0"/>
            <wp:wrapSquare wrapText="right"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20802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9C5">
        <w:t xml:space="preserve">Начиная с 14 </w:t>
      </w:r>
      <w:r w:rsidR="00CE04B0">
        <w:t>лет,</w:t>
      </w:r>
      <w:r w:rsidR="000369C5">
        <w:t xml:space="preserve"> несовершеннолетние отвечают за совершенные </w:t>
      </w:r>
      <w:r w:rsidR="00CE04B0">
        <w:t>преступления:</w:t>
      </w:r>
      <w:r>
        <w:t xml:space="preserve"> </w:t>
      </w:r>
      <w:r w:rsidR="000369C5">
        <w:t xml:space="preserve">убийства, </w:t>
      </w:r>
      <w:r w:rsidR="00CE04B0">
        <w:t>терроризм, жестокое обращение с животными, кражу, насилие и другие.</w:t>
      </w:r>
      <w:r>
        <w:t xml:space="preserve"> По </w:t>
      </w:r>
      <w:r w:rsidR="000369C5">
        <w:t xml:space="preserve">большей части </w:t>
      </w:r>
      <w:r w:rsidR="00CE04B0">
        <w:t>дети</w:t>
      </w:r>
      <w:r w:rsidR="000369C5">
        <w:t xml:space="preserve"> </w:t>
      </w:r>
      <w:r>
        <w:t xml:space="preserve">отделываются </w:t>
      </w:r>
      <w:r w:rsidR="00CE04B0">
        <w:t>штрафом</w:t>
      </w:r>
      <w:r>
        <w:t xml:space="preserve"> </w:t>
      </w:r>
      <w:r w:rsidR="00CE04B0">
        <w:t>и</w:t>
      </w:r>
      <w:r w:rsidR="000369C5">
        <w:t xml:space="preserve"> </w:t>
      </w:r>
      <w:r>
        <w:t xml:space="preserve">предупреждением, </w:t>
      </w:r>
      <w:r w:rsidR="00CE04B0">
        <w:t>также</w:t>
      </w:r>
      <w:r w:rsidR="000369C5">
        <w:t xml:space="preserve"> </w:t>
      </w:r>
      <w:r w:rsidR="00CE04B0">
        <w:t>пра</w:t>
      </w:r>
      <w:r w:rsidR="000369C5">
        <w:t>воохранительные</w:t>
      </w:r>
      <w:r w:rsidR="000369C5">
        <w:tab/>
        <w:t xml:space="preserve">органы проводят </w:t>
      </w:r>
      <w:r w:rsidR="00CE04B0">
        <w:t>допо</w:t>
      </w:r>
      <w:r w:rsidR="000369C5">
        <w:t>л</w:t>
      </w:r>
      <w:r>
        <w:t xml:space="preserve">нительную беседу с родителями. Однако </w:t>
      </w:r>
      <w:r w:rsidR="00CE04B0">
        <w:t>в этом возрасте несовершеннолетние могут и попасть в тюрьму.</w:t>
      </w:r>
      <w:r w:rsidR="00CE04B0">
        <w:br w:type="page"/>
      </w:r>
    </w:p>
    <w:p w:rsidR="002953DF" w:rsidRDefault="00CE04B0" w:rsidP="00C26626">
      <w:pPr>
        <w:pStyle w:val="1"/>
        <w:ind w:firstLine="580"/>
        <w:jc w:val="both"/>
      </w:pPr>
      <w:r>
        <w:lastRenderedPageBreak/>
        <w:t>Примите к сведению: колонии для несовершеннолетних «принимают» преступников, начиная с 14 лет. Это произойдет при совершении ими следующих преступлений:</w:t>
      </w:r>
    </w:p>
    <w:p w:rsidR="002953DF" w:rsidRDefault="00CE04B0" w:rsidP="00C26626">
      <w:pPr>
        <w:pStyle w:val="1"/>
        <w:numPr>
          <w:ilvl w:val="0"/>
          <w:numId w:val="3"/>
        </w:numPr>
        <w:tabs>
          <w:tab w:val="left" w:pos="729"/>
        </w:tabs>
        <w:ind w:firstLine="380"/>
        <w:jc w:val="both"/>
      </w:pPr>
      <w:r>
        <w:t>Убийство, похищение или умышленное причинение вреда здоровью.</w:t>
      </w:r>
    </w:p>
    <w:p w:rsidR="002953DF" w:rsidRDefault="00CE04B0" w:rsidP="00C26626">
      <w:pPr>
        <w:pStyle w:val="1"/>
        <w:numPr>
          <w:ilvl w:val="0"/>
          <w:numId w:val="3"/>
        </w:numPr>
        <w:tabs>
          <w:tab w:val="left" w:pos="753"/>
        </w:tabs>
        <w:ind w:firstLine="380"/>
        <w:jc w:val="both"/>
      </w:pPr>
      <w:r>
        <w:t>Участие в террористических группировках, захват заложников.</w:t>
      </w:r>
    </w:p>
    <w:p w:rsidR="002953DF" w:rsidRDefault="00CE04B0" w:rsidP="00C26626">
      <w:pPr>
        <w:pStyle w:val="1"/>
        <w:numPr>
          <w:ilvl w:val="0"/>
          <w:numId w:val="3"/>
        </w:numPr>
        <w:tabs>
          <w:tab w:val="left" w:pos="748"/>
        </w:tabs>
        <w:ind w:firstLine="380"/>
        <w:jc w:val="both"/>
      </w:pPr>
      <w:r>
        <w:t>Изнасилование или принуждение сексуального характера.</w:t>
      </w:r>
    </w:p>
    <w:p w:rsidR="002953DF" w:rsidRDefault="00CE04B0" w:rsidP="00C26626">
      <w:pPr>
        <w:pStyle w:val="1"/>
        <w:numPr>
          <w:ilvl w:val="0"/>
          <w:numId w:val="3"/>
        </w:numPr>
        <w:tabs>
          <w:tab w:val="left" w:pos="757"/>
        </w:tabs>
        <w:ind w:left="720" w:hanging="340"/>
        <w:jc w:val="both"/>
      </w:pPr>
      <w:r>
        <w:t>Кражи, разбой или вымогательство, угон транспорта, повреждение имущества или вандализм.</w:t>
      </w:r>
    </w:p>
    <w:p w:rsidR="002953DF" w:rsidRDefault="00CE04B0" w:rsidP="00176F8D">
      <w:pPr>
        <w:pStyle w:val="1"/>
        <w:numPr>
          <w:ilvl w:val="0"/>
          <w:numId w:val="3"/>
        </w:numPr>
        <w:tabs>
          <w:tab w:val="left" w:pos="748"/>
        </w:tabs>
        <w:ind w:left="720" w:hanging="340"/>
      </w:pPr>
      <w:r>
        <w:t>Хранение или приобретение оружия, взрывчатки, наркотических средств.</w:t>
      </w:r>
    </w:p>
    <w:p w:rsidR="002953DF" w:rsidRDefault="00CE04B0" w:rsidP="00176F8D">
      <w:pPr>
        <w:pStyle w:val="1"/>
        <w:ind w:firstLine="580"/>
        <w:jc w:val="both"/>
      </w:pPr>
      <w:r>
        <w:t>За все эти действия виновные несут полную уголовную ответственность, вплоть до заключения в колонию для несовершеннолетних. В остальных случаях дело обычно ограничивается штрафами для родителей, также могут быть назначены беседы с психологом или иные меры воздействия.</w:t>
      </w:r>
    </w:p>
    <w:p w:rsidR="00176F8D" w:rsidRDefault="00176F8D">
      <w:pPr>
        <w:pStyle w:val="11"/>
        <w:keepNext/>
        <w:keepLines/>
        <w:spacing w:after="60"/>
        <w:rPr>
          <w:color w:val="4F81BD"/>
        </w:rPr>
      </w:pPr>
      <w:bookmarkStart w:id="3" w:name="bookmark6"/>
    </w:p>
    <w:p w:rsidR="002953DF" w:rsidRDefault="00CE04B0">
      <w:pPr>
        <w:pStyle w:val="11"/>
        <w:keepNext/>
        <w:keepLines/>
        <w:spacing w:after="60"/>
      </w:pPr>
      <w:r>
        <w:rPr>
          <w:color w:val="4F81BD"/>
        </w:rPr>
        <w:t>16-18 лет</w:t>
      </w:r>
      <w:bookmarkEnd w:id="3"/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  <w:r>
        <w:rPr>
          <w:noProof/>
          <w:lang w:bidi="ar-SA"/>
        </w:rPr>
        <w:drawing>
          <wp:anchor distT="0" distB="0" distL="63500" distR="63500" simplePos="0" relativeHeight="125829381" behindDoc="0" locked="0" layoutInCell="1" allowOverlap="1" wp14:anchorId="18C8F320" wp14:editId="7023DA7B">
            <wp:simplePos x="0" y="0"/>
            <wp:positionH relativeFrom="page">
              <wp:posOffset>2391410</wp:posOffset>
            </wp:positionH>
            <wp:positionV relativeFrom="paragraph">
              <wp:posOffset>27305</wp:posOffset>
            </wp:positionV>
            <wp:extent cx="2865120" cy="1913890"/>
            <wp:effectExtent l="0" t="0" r="0" b="0"/>
            <wp:wrapSquare wrapText="right"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86512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CC4E40" w:rsidRDefault="00CC4E40">
      <w:pPr>
        <w:pStyle w:val="1"/>
        <w:tabs>
          <w:tab w:val="left" w:pos="1680"/>
          <w:tab w:val="left" w:pos="2328"/>
          <w:tab w:val="left" w:pos="3158"/>
        </w:tabs>
        <w:ind w:firstLine="0"/>
        <w:jc w:val="right"/>
      </w:pPr>
    </w:p>
    <w:p w:rsidR="002953DF" w:rsidRDefault="00CC4E40" w:rsidP="00644294">
      <w:pPr>
        <w:pStyle w:val="1"/>
        <w:tabs>
          <w:tab w:val="left" w:pos="1680"/>
          <w:tab w:val="left" w:pos="2328"/>
          <w:tab w:val="left" w:pos="3158"/>
        </w:tabs>
        <w:ind w:firstLine="709"/>
        <w:jc w:val="both"/>
      </w:pPr>
      <w:r>
        <w:t xml:space="preserve">Начиная с </w:t>
      </w:r>
      <w:r w:rsidR="00CE04B0">
        <w:t>16</w:t>
      </w:r>
      <w:r w:rsidR="00CE04B0">
        <w:tab/>
        <w:t>лет,</w:t>
      </w:r>
      <w:r>
        <w:t xml:space="preserve"> несовершеннолетний </w:t>
      </w:r>
      <w:r w:rsidR="00CE04B0">
        <w:t>получает</w:t>
      </w:r>
      <w:r>
        <w:t xml:space="preserve"> административную </w:t>
      </w:r>
      <w:r w:rsidR="00CE04B0">
        <w:t>ответственность. Отныне его могут привлечь к уголовной</w:t>
      </w:r>
      <w:r w:rsidR="00CE04B0">
        <w:tab/>
        <w:t>ответственности</w:t>
      </w:r>
      <w:r w:rsidR="00CE04B0">
        <w:tab/>
        <w:t>за</w:t>
      </w:r>
      <w:r>
        <w:t xml:space="preserve"> </w:t>
      </w:r>
      <w:r w:rsidR="00CE04B0">
        <w:t>вышеперечисленные пр</w:t>
      </w:r>
      <w:r>
        <w:t xml:space="preserve">еступления, а также приговорить </w:t>
      </w:r>
      <w:r w:rsidR="00CE04B0">
        <w:t>к</w:t>
      </w:r>
      <w:r>
        <w:t xml:space="preserve"> административной - </w:t>
      </w:r>
      <w:r w:rsidR="00CE04B0">
        <w:t>за ме</w:t>
      </w:r>
      <w:r w:rsidR="00C26626">
        <w:t xml:space="preserve">нее тяжкие преступления. Помимо </w:t>
      </w:r>
      <w:r w:rsidR="00CE04B0">
        <w:t>закл</w:t>
      </w:r>
      <w:r>
        <w:t xml:space="preserve">ючения </w:t>
      </w:r>
      <w:r w:rsidR="00C26626">
        <w:t xml:space="preserve">в исправительную колонию </w:t>
      </w:r>
      <w:r w:rsidR="00CE04B0">
        <w:t xml:space="preserve">несовершеннолетнего могут принудить </w:t>
      </w:r>
      <w:proofErr w:type="gramStart"/>
      <w:r w:rsidR="00CE04B0">
        <w:t>к</w:t>
      </w:r>
      <w:proofErr w:type="gramEnd"/>
      <w:r w:rsidR="00CE04B0">
        <w:t>:</w:t>
      </w:r>
    </w:p>
    <w:p w:rsidR="002953DF" w:rsidRDefault="00CE04B0" w:rsidP="00CC4E40">
      <w:pPr>
        <w:pStyle w:val="1"/>
        <w:numPr>
          <w:ilvl w:val="0"/>
          <w:numId w:val="4"/>
        </w:numPr>
        <w:tabs>
          <w:tab w:val="left" w:pos="722"/>
        </w:tabs>
        <w:ind w:firstLine="380"/>
        <w:jc w:val="both"/>
      </w:pPr>
      <w:r>
        <w:t>общественным или исправительным работам;</w:t>
      </w:r>
    </w:p>
    <w:p w:rsidR="002953DF" w:rsidRDefault="00CE04B0" w:rsidP="00CC4E40">
      <w:pPr>
        <w:pStyle w:val="1"/>
        <w:numPr>
          <w:ilvl w:val="0"/>
          <w:numId w:val="4"/>
        </w:numPr>
        <w:tabs>
          <w:tab w:val="left" w:pos="722"/>
        </w:tabs>
        <w:ind w:left="720" w:hanging="340"/>
        <w:jc w:val="both"/>
      </w:pPr>
      <w:r>
        <w:t>выплате штрафа из собственных средств или конфискации имущества;</w:t>
      </w:r>
    </w:p>
    <w:p w:rsidR="00C26626" w:rsidRDefault="00CE04B0" w:rsidP="00176F8D">
      <w:pPr>
        <w:pStyle w:val="1"/>
        <w:numPr>
          <w:ilvl w:val="0"/>
          <w:numId w:val="4"/>
        </w:numPr>
        <w:tabs>
          <w:tab w:val="left" w:pos="722"/>
        </w:tabs>
        <w:ind w:firstLine="380"/>
        <w:jc w:val="both"/>
      </w:pPr>
      <w:r>
        <w:t>лишению права заниматься некоторыми видами деятельности.</w:t>
      </w:r>
    </w:p>
    <w:p w:rsidR="002953DF" w:rsidRDefault="00CE04B0" w:rsidP="00C26626">
      <w:pPr>
        <w:pStyle w:val="1"/>
        <w:ind w:firstLine="580"/>
        <w:jc w:val="both"/>
      </w:pPr>
      <w:r>
        <w:t>Примите во внимание: до 16 лет штрафы за подростка выплачивают родители, так как он сам не может устроиться на работу.</w:t>
      </w:r>
    </w:p>
    <w:p w:rsidR="00176F8D" w:rsidRDefault="00CE04B0" w:rsidP="00176F8D">
      <w:pPr>
        <w:pStyle w:val="1"/>
        <w:ind w:firstLine="580"/>
        <w:jc w:val="both"/>
      </w:pPr>
      <w:r>
        <w:t>После наступления совершеннолетия гражданин начинает нести полную уголовную ответственность за свои действия. Пока подросток не достиг совершеннолетия, за его поведение и поступки отвечают родители или опекуны. Это связано с особым статусом малыша и его непониманием происходящего.</w:t>
      </w:r>
    </w:p>
    <w:p w:rsidR="002953DF" w:rsidRDefault="00CE04B0" w:rsidP="002C4F33">
      <w:pPr>
        <w:pStyle w:val="1"/>
        <w:ind w:firstLine="580"/>
        <w:jc w:val="both"/>
        <w:rPr>
          <w:b/>
        </w:rPr>
      </w:pPr>
      <w:r w:rsidRPr="00904577">
        <w:rPr>
          <w:b/>
        </w:rPr>
        <w:t>Отсутствие родительского внимания, вседозволенность и распущенность приводят к совершению детьми неосознанных проступков и реальных преступлений. Закон определяет ответственность родителей за противоправные деяния их н</w:t>
      </w:r>
      <w:r w:rsidR="002C4F33">
        <w:rPr>
          <w:b/>
        </w:rPr>
        <w:t>есовершеннолетних детей</w:t>
      </w:r>
      <w:r w:rsidR="00483A36">
        <w:rPr>
          <w:b/>
        </w:rPr>
        <w:t>.</w:t>
      </w:r>
    </w:p>
    <w:p w:rsidR="00176F8D" w:rsidRDefault="00176F8D" w:rsidP="002C4F33">
      <w:pPr>
        <w:pStyle w:val="1"/>
        <w:ind w:firstLine="580"/>
        <w:jc w:val="both"/>
        <w:rPr>
          <w:b/>
        </w:rPr>
      </w:pPr>
    </w:p>
    <w:p w:rsidR="00176F8D" w:rsidRPr="00176F8D" w:rsidRDefault="00176F8D" w:rsidP="00176F8D">
      <w:pPr>
        <w:pStyle w:val="1"/>
        <w:ind w:firstLine="580"/>
        <w:jc w:val="right"/>
        <w:rPr>
          <w:i/>
        </w:rPr>
      </w:pPr>
      <w:r w:rsidRPr="00176F8D">
        <w:rPr>
          <w:i/>
        </w:rPr>
        <w:t>Управление образования Админист</w:t>
      </w:r>
      <w:bookmarkStart w:id="4" w:name="_GoBack"/>
      <w:bookmarkEnd w:id="4"/>
      <w:r w:rsidRPr="00176F8D">
        <w:rPr>
          <w:i/>
        </w:rPr>
        <w:t>рации МО «Турочакский район»</w:t>
      </w:r>
    </w:p>
    <w:sectPr w:rsidR="00176F8D" w:rsidRPr="00176F8D" w:rsidSect="00864DF4">
      <w:pgSz w:w="11900" w:h="16840"/>
      <w:pgMar w:top="990" w:right="701" w:bottom="1134" w:left="1134" w:header="562" w:footer="3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635" w:rsidRDefault="008C4635">
      <w:r>
        <w:separator/>
      </w:r>
    </w:p>
  </w:endnote>
  <w:endnote w:type="continuationSeparator" w:id="0">
    <w:p w:rsidR="008C4635" w:rsidRDefault="008C4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635" w:rsidRDefault="008C4635"/>
  </w:footnote>
  <w:footnote w:type="continuationSeparator" w:id="0">
    <w:p w:rsidR="008C4635" w:rsidRDefault="008C463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263"/>
    <w:multiLevelType w:val="hybridMultilevel"/>
    <w:tmpl w:val="F3269944"/>
    <w:lvl w:ilvl="0" w:tplc="C0260DC0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1B2D3483"/>
    <w:multiLevelType w:val="multilevel"/>
    <w:tmpl w:val="84F05D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D971B4"/>
    <w:multiLevelType w:val="multilevel"/>
    <w:tmpl w:val="95904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C1BCB"/>
    <w:multiLevelType w:val="multilevel"/>
    <w:tmpl w:val="D33AD5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069F8"/>
    <w:multiLevelType w:val="multilevel"/>
    <w:tmpl w:val="56FE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EC6731"/>
    <w:multiLevelType w:val="multilevel"/>
    <w:tmpl w:val="0D8E77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D82F7A"/>
    <w:multiLevelType w:val="multilevel"/>
    <w:tmpl w:val="2BCEE0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0459E7"/>
    <w:multiLevelType w:val="multilevel"/>
    <w:tmpl w:val="6E6809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7233AE4"/>
    <w:multiLevelType w:val="multilevel"/>
    <w:tmpl w:val="E18439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7F131CF"/>
    <w:multiLevelType w:val="multilevel"/>
    <w:tmpl w:val="2F90282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953DF"/>
    <w:rsid w:val="000369C5"/>
    <w:rsid w:val="000742A3"/>
    <w:rsid w:val="00176F8D"/>
    <w:rsid w:val="002953DF"/>
    <w:rsid w:val="002C4F33"/>
    <w:rsid w:val="003D3DA3"/>
    <w:rsid w:val="00483A36"/>
    <w:rsid w:val="0054492E"/>
    <w:rsid w:val="00644294"/>
    <w:rsid w:val="006C1367"/>
    <w:rsid w:val="00864DF4"/>
    <w:rsid w:val="008C4635"/>
    <w:rsid w:val="00904577"/>
    <w:rsid w:val="0099219C"/>
    <w:rsid w:val="00AA4CB9"/>
    <w:rsid w:val="00C26626"/>
    <w:rsid w:val="00C96BE6"/>
    <w:rsid w:val="00CC4E40"/>
    <w:rsid w:val="00CD7419"/>
    <w:rsid w:val="00CE04B0"/>
    <w:rsid w:val="00D018D1"/>
    <w:rsid w:val="00D16740"/>
    <w:rsid w:val="00E8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70C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after="3040"/>
      <w:jc w:val="center"/>
    </w:pPr>
    <w:rPr>
      <w:rFonts w:ascii="Bookman Old Style" w:eastAsia="Bookman Old Style" w:hAnsi="Bookman Old Style" w:cs="Bookman Old Style"/>
      <w:b/>
      <w:bCs/>
      <w:color w:val="0070C0"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before="13180" w:after="26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2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19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70C0"/>
      <w:sz w:val="44"/>
      <w:szCs w:val="4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pacing w:after="3040"/>
      <w:jc w:val="center"/>
    </w:pPr>
    <w:rPr>
      <w:rFonts w:ascii="Bookman Old Style" w:eastAsia="Bookman Old Style" w:hAnsi="Bookman Old Style" w:cs="Bookman Old Style"/>
      <w:b/>
      <w:bCs/>
      <w:color w:val="0070C0"/>
      <w:sz w:val="44"/>
      <w:szCs w:val="44"/>
    </w:rPr>
  </w:style>
  <w:style w:type="paragraph" w:customStyle="1" w:styleId="20">
    <w:name w:val="Основной текст (2)"/>
    <w:basedOn w:val="a"/>
    <w:link w:val="2"/>
    <w:pPr>
      <w:spacing w:before="13180" w:after="260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21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19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Карташова</cp:lastModifiedBy>
  <cp:revision>5</cp:revision>
  <dcterms:created xsi:type="dcterms:W3CDTF">2023-06-07T02:34:00Z</dcterms:created>
  <dcterms:modified xsi:type="dcterms:W3CDTF">2023-06-07T03:31:00Z</dcterms:modified>
</cp:coreProperties>
</file>